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7C" w:rsidRDefault="005924E0" w:rsidP="00645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4537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64537C" w:rsidRDefault="00E52A3E" w:rsidP="00645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 ГРАЧЕВ</w:t>
      </w:r>
      <w:r w:rsidR="0064537C">
        <w:rPr>
          <w:rFonts w:ascii="Times New Roman" w:hAnsi="Times New Roman"/>
          <w:b/>
          <w:sz w:val="24"/>
          <w:szCs w:val="24"/>
        </w:rPr>
        <w:t>СКИЙ СЕЛЬСОВЕТ</w:t>
      </w:r>
    </w:p>
    <w:p w:rsidR="0064537C" w:rsidRDefault="0064537C" w:rsidP="00645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УСМАНСКОГО МУНИЦИПАЛЬНОГО РАЙОНА ЛИПЕЦКОЙ ОБЛАСТИ</w:t>
      </w:r>
    </w:p>
    <w:p w:rsidR="0064537C" w:rsidRDefault="0064537C" w:rsidP="00645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РОССИЙСКОЙ  ФЕДЕРАЦИИ</w:t>
      </w:r>
    </w:p>
    <w:p w:rsidR="0064537C" w:rsidRDefault="0064537C" w:rsidP="0064537C">
      <w:pPr>
        <w:tabs>
          <w:tab w:val="left" w:pos="4125"/>
        </w:tabs>
        <w:rPr>
          <w:rFonts w:ascii="Times New Roman" w:hAnsi="Times New Roman"/>
          <w:sz w:val="24"/>
          <w:szCs w:val="24"/>
        </w:rPr>
      </w:pPr>
    </w:p>
    <w:p w:rsidR="0064537C" w:rsidRDefault="0064537C" w:rsidP="0064537C">
      <w:pPr>
        <w:tabs>
          <w:tab w:val="left" w:pos="4125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РЕШЕНИЕ</w:t>
      </w:r>
    </w:p>
    <w:p w:rsidR="0064537C" w:rsidRDefault="00B76BCF" w:rsidP="0064537C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30</w:t>
      </w:r>
      <w:r w:rsidR="0064537C" w:rsidRPr="00D579FD">
        <w:rPr>
          <w:rFonts w:ascii="Times New Roman" w:hAnsi="Times New Roman"/>
          <w:sz w:val="24"/>
          <w:szCs w:val="24"/>
        </w:rPr>
        <w:t>.10.2017г.</w:t>
      </w:r>
      <w:r w:rsidR="00E52A3E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gramStart"/>
      <w:r w:rsidR="00E52A3E">
        <w:rPr>
          <w:rFonts w:ascii="Times New Roman" w:hAnsi="Times New Roman"/>
          <w:sz w:val="24"/>
          <w:szCs w:val="24"/>
        </w:rPr>
        <w:t>с</w:t>
      </w:r>
      <w:proofErr w:type="gramEnd"/>
      <w:r w:rsidR="00E52A3E">
        <w:rPr>
          <w:rFonts w:ascii="Times New Roman" w:hAnsi="Times New Roman"/>
          <w:sz w:val="24"/>
          <w:szCs w:val="24"/>
        </w:rPr>
        <w:t xml:space="preserve">. Грачевка                          </w:t>
      </w:r>
      <w:r w:rsidR="0064537C" w:rsidRPr="00D579FD">
        <w:rPr>
          <w:rFonts w:ascii="Times New Roman" w:hAnsi="Times New Roman"/>
          <w:sz w:val="24"/>
          <w:szCs w:val="24"/>
        </w:rPr>
        <w:t xml:space="preserve"> </w:t>
      </w:r>
      <w:r w:rsidR="00E52A3E">
        <w:rPr>
          <w:rFonts w:ascii="Times New Roman" w:hAnsi="Times New Roman"/>
          <w:sz w:val="24"/>
          <w:szCs w:val="24"/>
        </w:rPr>
        <w:t>№ 2</w:t>
      </w:r>
      <w:r w:rsidR="00716973">
        <w:rPr>
          <w:rFonts w:ascii="Times New Roman" w:hAnsi="Times New Roman"/>
          <w:sz w:val="24"/>
          <w:szCs w:val="24"/>
        </w:rPr>
        <w:t>7</w:t>
      </w:r>
      <w:r w:rsidR="00E52A3E">
        <w:rPr>
          <w:rFonts w:ascii="Times New Roman" w:hAnsi="Times New Roman"/>
          <w:sz w:val="24"/>
          <w:szCs w:val="24"/>
        </w:rPr>
        <w:t>/5</w:t>
      </w:r>
      <w:r w:rsidR="00D579FD" w:rsidRPr="00D579FD">
        <w:rPr>
          <w:rFonts w:ascii="Times New Roman" w:hAnsi="Times New Roman"/>
          <w:sz w:val="24"/>
          <w:szCs w:val="24"/>
        </w:rPr>
        <w:t>3</w:t>
      </w:r>
    </w:p>
    <w:p w:rsidR="00E52A3E" w:rsidRPr="00D579FD" w:rsidRDefault="00E52A3E" w:rsidP="0064537C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B76BCF" w:rsidRDefault="0064537C" w:rsidP="00326E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налоге на имущество физических лиц</w:t>
      </w:r>
      <w:r w:rsidR="00B76BCF">
        <w:rPr>
          <w:rFonts w:ascii="Times New Roman" w:hAnsi="Times New Roman"/>
          <w:b/>
          <w:sz w:val="24"/>
          <w:szCs w:val="24"/>
        </w:rPr>
        <w:t xml:space="preserve"> на территории сельского поселения </w:t>
      </w:r>
      <w:proofErr w:type="spellStart"/>
      <w:r w:rsidR="00B76BCF">
        <w:rPr>
          <w:rFonts w:ascii="Times New Roman" w:hAnsi="Times New Roman"/>
          <w:b/>
          <w:sz w:val="24"/>
          <w:szCs w:val="24"/>
        </w:rPr>
        <w:t>Грачевский</w:t>
      </w:r>
      <w:proofErr w:type="spellEnd"/>
      <w:r w:rsidR="00B76BCF"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 w:rsidR="00B76BCF">
        <w:rPr>
          <w:rFonts w:ascii="Times New Roman" w:hAnsi="Times New Roman"/>
          <w:b/>
          <w:sz w:val="24"/>
          <w:szCs w:val="24"/>
        </w:rPr>
        <w:t>Усманского</w:t>
      </w:r>
      <w:proofErr w:type="spellEnd"/>
      <w:r w:rsidR="00B76BCF">
        <w:rPr>
          <w:rFonts w:ascii="Times New Roman" w:hAnsi="Times New Roman"/>
          <w:b/>
          <w:sz w:val="24"/>
          <w:szCs w:val="24"/>
        </w:rPr>
        <w:t xml:space="preserve"> муниципального района Липецкой области Российской Федерации</w:t>
      </w:r>
    </w:p>
    <w:p w:rsidR="0064537C" w:rsidRDefault="00461AE6" w:rsidP="00645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537C">
        <w:rPr>
          <w:rFonts w:ascii="Times New Roman" w:hAnsi="Times New Roman"/>
          <w:sz w:val="24"/>
          <w:szCs w:val="24"/>
        </w:rPr>
        <w:t xml:space="preserve">В соответствии с главой 32 «Налог на имущество физических лиц» Налогового Кодекса  Российской Федерации,  Законом Липецкой области №87-ОЗ от 07.08.2017 г.  </w:t>
      </w:r>
      <w:r w:rsidR="00E52A3E">
        <w:rPr>
          <w:rFonts w:ascii="Times New Roman" w:hAnsi="Times New Roman"/>
          <w:sz w:val="24"/>
          <w:szCs w:val="24"/>
        </w:rPr>
        <w:t xml:space="preserve">                 «</w:t>
      </w:r>
      <w:r w:rsidR="0064537C">
        <w:rPr>
          <w:rFonts w:ascii="Times New Roman" w:hAnsi="Times New Roman"/>
          <w:sz w:val="24"/>
          <w:szCs w:val="24"/>
        </w:rPr>
        <w:t>Об ус</w:t>
      </w:r>
      <w:r w:rsidR="00FD6BBB">
        <w:rPr>
          <w:rFonts w:ascii="Times New Roman" w:hAnsi="Times New Roman"/>
          <w:sz w:val="24"/>
          <w:szCs w:val="24"/>
        </w:rPr>
        <w:t xml:space="preserve">тановлении  единой даты начала </w:t>
      </w:r>
      <w:r w:rsidR="0064537C">
        <w:rPr>
          <w:rFonts w:ascii="Times New Roman" w:hAnsi="Times New Roman"/>
          <w:sz w:val="24"/>
          <w:szCs w:val="24"/>
        </w:rPr>
        <w:t>применения  на территории Липецкой области  порядка определения  налоговой  базы по налогу на имущество физических лиц исходя из кадастровой стоимости  объектов налогообложения»</w:t>
      </w:r>
      <w:r w:rsidR="00B76BCF">
        <w:rPr>
          <w:rFonts w:ascii="Times New Roman" w:hAnsi="Times New Roman"/>
          <w:sz w:val="24"/>
          <w:szCs w:val="24"/>
        </w:rPr>
        <w:t>,</w:t>
      </w:r>
      <w:r w:rsidR="0064537C">
        <w:rPr>
          <w:rFonts w:ascii="Times New Roman" w:hAnsi="Times New Roman"/>
          <w:sz w:val="24"/>
          <w:szCs w:val="24"/>
        </w:rPr>
        <w:t xml:space="preserve"> </w:t>
      </w:r>
      <w:r w:rsidR="00B76BCF">
        <w:rPr>
          <w:rFonts w:ascii="Times New Roman" w:hAnsi="Times New Roman"/>
          <w:sz w:val="24"/>
          <w:szCs w:val="24"/>
        </w:rPr>
        <w:t xml:space="preserve">Уставом </w:t>
      </w:r>
      <w:r w:rsidR="00E52A3E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52A3E">
        <w:rPr>
          <w:rFonts w:ascii="Times New Roman" w:hAnsi="Times New Roman"/>
          <w:sz w:val="24"/>
          <w:szCs w:val="24"/>
        </w:rPr>
        <w:t>Грачев</w:t>
      </w:r>
      <w:r w:rsidR="0064537C">
        <w:rPr>
          <w:rFonts w:ascii="Times New Roman" w:hAnsi="Times New Roman"/>
          <w:sz w:val="24"/>
          <w:szCs w:val="24"/>
        </w:rPr>
        <w:t>ский</w:t>
      </w:r>
      <w:proofErr w:type="spellEnd"/>
      <w:r w:rsidR="0064537C">
        <w:rPr>
          <w:rFonts w:ascii="Times New Roman" w:hAnsi="Times New Roman"/>
          <w:sz w:val="24"/>
          <w:szCs w:val="24"/>
        </w:rPr>
        <w:t xml:space="preserve"> сельсовет</w:t>
      </w:r>
      <w:r w:rsidR="00B76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BCF">
        <w:rPr>
          <w:rFonts w:ascii="Times New Roman" w:hAnsi="Times New Roman"/>
          <w:sz w:val="24"/>
          <w:szCs w:val="24"/>
        </w:rPr>
        <w:t>Усманского</w:t>
      </w:r>
      <w:proofErr w:type="spellEnd"/>
      <w:r w:rsidR="00B76BCF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  <w:r w:rsidR="00FD6BBB">
        <w:rPr>
          <w:rFonts w:ascii="Times New Roman" w:hAnsi="Times New Roman"/>
          <w:sz w:val="24"/>
          <w:szCs w:val="24"/>
        </w:rPr>
        <w:t xml:space="preserve">, Совет депутатов </w:t>
      </w:r>
      <w:r w:rsidR="0064537C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64537C" w:rsidRDefault="0064537C" w:rsidP="0064537C">
      <w:pPr>
        <w:tabs>
          <w:tab w:val="left" w:pos="40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64537C" w:rsidRPr="007157B5" w:rsidRDefault="0064537C" w:rsidP="007D5B36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157B5">
        <w:rPr>
          <w:rFonts w:ascii="Times New Roman" w:hAnsi="Times New Roman"/>
          <w:sz w:val="24"/>
          <w:szCs w:val="24"/>
        </w:rPr>
        <w:t>Установить налог на имущество физических лиц на территори</w:t>
      </w:r>
      <w:r w:rsidR="00FD6BBB">
        <w:rPr>
          <w:rFonts w:ascii="Times New Roman" w:hAnsi="Times New Roman"/>
          <w:sz w:val="24"/>
          <w:szCs w:val="24"/>
        </w:rPr>
        <w:t xml:space="preserve">и сельского поселения  </w:t>
      </w:r>
      <w:proofErr w:type="spellStart"/>
      <w:r w:rsidR="00FD6BBB">
        <w:rPr>
          <w:rFonts w:ascii="Times New Roman" w:hAnsi="Times New Roman"/>
          <w:sz w:val="24"/>
          <w:szCs w:val="24"/>
        </w:rPr>
        <w:t>Грачев</w:t>
      </w:r>
      <w:r w:rsidRPr="007157B5">
        <w:rPr>
          <w:rFonts w:ascii="Times New Roman" w:hAnsi="Times New Roman"/>
          <w:sz w:val="24"/>
          <w:szCs w:val="24"/>
        </w:rPr>
        <w:t>ский</w:t>
      </w:r>
      <w:proofErr w:type="spellEnd"/>
      <w:r w:rsidRPr="007157B5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7157B5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7157B5">
        <w:rPr>
          <w:rFonts w:ascii="Times New Roman" w:hAnsi="Times New Roman"/>
          <w:sz w:val="24"/>
          <w:szCs w:val="24"/>
        </w:rPr>
        <w:t xml:space="preserve"> муниципального района Липецкой области</w:t>
      </w:r>
      <w:r w:rsidR="00B76BCF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7157B5">
        <w:rPr>
          <w:rFonts w:ascii="Times New Roman" w:hAnsi="Times New Roman"/>
          <w:sz w:val="24"/>
          <w:szCs w:val="24"/>
        </w:rPr>
        <w:t>.</w:t>
      </w:r>
    </w:p>
    <w:p w:rsidR="007157B5" w:rsidRDefault="00461AE6" w:rsidP="007157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</w:t>
      </w:r>
      <w:r w:rsidR="00FD6BBB">
        <w:rPr>
          <w:rFonts w:ascii="Times New Roman" w:hAnsi="Times New Roman"/>
          <w:sz w:val="24"/>
          <w:szCs w:val="24"/>
        </w:rPr>
        <w:t xml:space="preserve">, что </w:t>
      </w:r>
      <w:r w:rsidR="007157B5">
        <w:rPr>
          <w:rFonts w:ascii="Times New Roman" w:hAnsi="Times New Roman"/>
          <w:sz w:val="24"/>
          <w:szCs w:val="24"/>
        </w:rPr>
        <w:t>налоговая база</w:t>
      </w:r>
      <w:r w:rsidR="00FD6BBB">
        <w:rPr>
          <w:rFonts w:ascii="Times New Roman" w:hAnsi="Times New Roman"/>
          <w:sz w:val="24"/>
          <w:szCs w:val="24"/>
        </w:rPr>
        <w:t xml:space="preserve"> по налогу на имущество физических лиц </w:t>
      </w:r>
      <w:r w:rsidR="007157B5">
        <w:rPr>
          <w:rFonts w:ascii="Times New Roman" w:hAnsi="Times New Roman"/>
          <w:sz w:val="24"/>
          <w:szCs w:val="24"/>
        </w:rPr>
        <w:t>исчисляется</w:t>
      </w:r>
      <w:r w:rsidR="00FD6BBB">
        <w:rPr>
          <w:rFonts w:ascii="Times New Roman" w:hAnsi="Times New Roman"/>
          <w:sz w:val="24"/>
          <w:szCs w:val="24"/>
        </w:rPr>
        <w:t xml:space="preserve"> исходя из кадастровой </w:t>
      </w:r>
      <w:r w:rsidR="007157B5">
        <w:rPr>
          <w:rFonts w:ascii="Times New Roman" w:hAnsi="Times New Roman"/>
          <w:sz w:val="24"/>
          <w:szCs w:val="24"/>
        </w:rPr>
        <w:t>стои</w:t>
      </w:r>
      <w:r w:rsidR="00FD6BBB">
        <w:rPr>
          <w:rFonts w:ascii="Times New Roman" w:hAnsi="Times New Roman"/>
          <w:sz w:val="24"/>
          <w:szCs w:val="24"/>
        </w:rPr>
        <w:t xml:space="preserve">мости </w:t>
      </w:r>
      <w:r>
        <w:rPr>
          <w:rFonts w:ascii="Times New Roman" w:hAnsi="Times New Roman"/>
          <w:sz w:val="24"/>
          <w:szCs w:val="24"/>
        </w:rPr>
        <w:t>о</w:t>
      </w:r>
      <w:r w:rsidR="00FD6BBB">
        <w:rPr>
          <w:rFonts w:ascii="Times New Roman" w:hAnsi="Times New Roman"/>
          <w:sz w:val="24"/>
          <w:szCs w:val="24"/>
        </w:rPr>
        <w:t xml:space="preserve">бъекта </w:t>
      </w:r>
      <w:r>
        <w:rPr>
          <w:rFonts w:ascii="Times New Roman" w:hAnsi="Times New Roman"/>
          <w:sz w:val="24"/>
          <w:szCs w:val="24"/>
        </w:rPr>
        <w:t>налогообложения</w:t>
      </w:r>
      <w:r w:rsidR="007157B5">
        <w:rPr>
          <w:rFonts w:ascii="Times New Roman" w:hAnsi="Times New Roman"/>
          <w:sz w:val="24"/>
          <w:szCs w:val="24"/>
        </w:rPr>
        <w:t xml:space="preserve">. </w:t>
      </w:r>
    </w:p>
    <w:p w:rsidR="007157B5" w:rsidRDefault="007157B5" w:rsidP="007157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налогов</w:t>
      </w:r>
      <w:r w:rsidR="00B76BCF">
        <w:rPr>
          <w:rFonts w:ascii="Times New Roman" w:hAnsi="Times New Roman"/>
          <w:sz w:val="24"/>
          <w:szCs w:val="24"/>
        </w:rPr>
        <w:t xml:space="preserve">ые ставки по налогу на имущество </w:t>
      </w:r>
      <w:r w:rsidR="00B76BCF" w:rsidRPr="007157B5">
        <w:rPr>
          <w:rFonts w:ascii="Times New Roman" w:hAnsi="Times New Roman"/>
          <w:sz w:val="24"/>
          <w:szCs w:val="24"/>
        </w:rPr>
        <w:t>физических лиц на территори</w:t>
      </w:r>
      <w:r w:rsidR="00B76BCF">
        <w:rPr>
          <w:rFonts w:ascii="Times New Roman" w:hAnsi="Times New Roman"/>
          <w:sz w:val="24"/>
          <w:szCs w:val="24"/>
        </w:rPr>
        <w:t xml:space="preserve">и сельского поселения  </w:t>
      </w:r>
      <w:proofErr w:type="spellStart"/>
      <w:r w:rsidR="00B76BCF">
        <w:rPr>
          <w:rFonts w:ascii="Times New Roman" w:hAnsi="Times New Roman"/>
          <w:sz w:val="24"/>
          <w:szCs w:val="24"/>
        </w:rPr>
        <w:t>Грачев</w:t>
      </w:r>
      <w:r w:rsidR="00B76BCF" w:rsidRPr="007157B5">
        <w:rPr>
          <w:rFonts w:ascii="Times New Roman" w:hAnsi="Times New Roman"/>
          <w:sz w:val="24"/>
          <w:szCs w:val="24"/>
        </w:rPr>
        <w:t>ский</w:t>
      </w:r>
      <w:proofErr w:type="spellEnd"/>
      <w:r w:rsidR="00B76BCF" w:rsidRPr="007157B5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B76BCF" w:rsidRPr="007157B5">
        <w:rPr>
          <w:rFonts w:ascii="Times New Roman" w:hAnsi="Times New Roman"/>
          <w:sz w:val="24"/>
          <w:szCs w:val="24"/>
        </w:rPr>
        <w:t>Усманского</w:t>
      </w:r>
      <w:proofErr w:type="spellEnd"/>
      <w:r w:rsidR="00B76BCF" w:rsidRPr="007157B5">
        <w:rPr>
          <w:rFonts w:ascii="Times New Roman" w:hAnsi="Times New Roman"/>
          <w:sz w:val="24"/>
          <w:szCs w:val="24"/>
        </w:rPr>
        <w:t xml:space="preserve"> муниципального района Липецкой области</w:t>
      </w:r>
      <w:r w:rsidR="00B76BCF">
        <w:rPr>
          <w:rFonts w:ascii="Times New Roman" w:hAnsi="Times New Roman"/>
          <w:sz w:val="24"/>
          <w:szCs w:val="24"/>
        </w:rPr>
        <w:t xml:space="preserve"> Российской Федерации, </w:t>
      </w:r>
      <w:proofErr w:type="gramStart"/>
      <w:r w:rsidR="00B76BCF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B76BCF">
        <w:rPr>
          <w:rFonts w:ascii="Times New Roman" w:hAnsi="Times New Roman"/>
          <w:sz w:val="24"/>
          <w:szCs w:val="24"/>
        </w:rPr>
        <w:t xml:space="preserve">. </w:t>
      </w:r>
    </w:p>
    <w:p w:rsidR="00A7184A" w:rsidRPr="00A7184A" w:rsidRDefault="00B76BCF" w:rsidP="00A718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184A">
        <w:rPr>
          <w:rFonts w:ascii="Times New Roman" w:hAnsi="Times New Roman"/>
          <w:sz w:val="24"/>
          <w:szCs w:val="24"/>
        </w:rPr>
        <w:t xml:space="preserve">Признать утратившим силу решение Совета депутатов сельского поселения </w:t>
      </w:r>
      <w:proofErr w:type="spellStart"/>
      <w:r w:rsidRPr="00A7184A">
        <w:rPr>
          <w:rFonts w:ascii="Times New Roman" w:hAnsi="Times New Roman"/>
          <w:sz w:val="24"/>
          <w:szCs w:val="24"/>
        </w:rPr>
        <w:t>Граческий</w:t>
      </w:r>
      <w:proofErr w:type="spellEnd"/>
      <w:r w:rsidRPr="00A7184A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A7184A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A7184A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 от 27.10.2014г. № 61/123 «О налоге на имущество физических лиц».</w:t>
      </w:r>
    </w:p>
    <w:p w:rsidR="00A7184A" w:rsidRPr="00A7184A" w:rsidRDefault="00A7184A" w:rsidP="00A7184A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84A">
        <w:rPr>
          <w:rFonts w:ascii="Times New Roman" w:hAnsi="Times New Roman"/>
          <w:sz w:val="24"/>
          <w:szCs w:val="24"/>
        </w:rPr>
        <w:t xml:space="preserve">Направить вышеуказанный нормативный правовой акт главе сельского поселения </w:t>
      </w:r>
      <w:proofErr w:type="spellStart"/>
      <w:r w:rsidRPr="00A7184A">
        <w:rPr>
          <w:rFonts w:ascii="Times New Roman" w:hAnsi="Times New Roman"/>
          <w:sz w:val="24"/>
          <w:szCs w:val="24"/>
        </w:rPr>
        <w:t>Грачевский</w:t>
      </w:r>
      <w:proofErr w:type="spellEnd"/>
      <w:r w:rsidRPr="00A7184A">
        <w:rPr>
          <w:rFonts w:ascii="Times New Roman" w:hAnsi="Times New Roman"/>
          <w:sz w:val="24"/>
          <w:szCs w:val="24"/>
        </w:rPr>
        <w:t xml:space="preserve"> сельсовет для подписания и опубликования в газете «Новая жизнь». </w:t>
      </w:r>
    </w:p>
    <w:p w:rsidR="00B76BCF" w:rsidRPr="00A7184A" w:rsidRDefault="00B76BCF" w:rsidP="00A718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184A">
        <w:rPr>
          <w:rFonts w:ascii="Times New Roman" w:hAnsi="Times New Roman"/>
          <w:sz w:val="24"/>
          <w:szCs w:val="24"/>
        </w:rPr>
        <w:t xml:space="preserve">Решение вступает в силу с 01 января 2018 года, но не ранее чем по истечении одного месяца со дня его опубликования и не ранее 1-го числа очередного налогового периода. </w:t>
      </w:r>
    </w:p>
    <w:p w:rsidR="00B76BCF" w:rsidRDefault="00B76BCF" w:rsidP="00B76BC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26E87" w:rsidRDefault="00326E87" w:rsidP="00B76BC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B76BCF" w:rsidRPr="00B76BCF" w:rsidRDefault="00B76BCF" w:rsidP="00B76BC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B76BCF" w:rsidRPr="00B76BCF" w:rsidRDefault="00B76BCF" w:rsidP="00B76BCF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76BCF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B76BCF" w:rsidRPr="00B76BCF" w:rsidRDefault="00B76BCF" w:rsidP="00B76BCF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76BC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B76BCF" w:rsidRDefault="00B76BCF" w:rsidP="00A7184A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6BCF">
        <w:rPr>
          <w:rFonts w:ascii="Times New Roman" w:hAnsi="Times New Roman"/>
          <w:sz w:val="24"/>
          <w:szCs w:val="24"/>
        </w:rPr>
        <w:t>Грачевский</w:t>
      </w:r>
      <w:proofErr w:type="spellEnd"/>
      <w:r w:rsidRPr="00B76BCF">
        <w:rPr>
          <w:rFonts w:ascii="Times New Roman" w:hAnsi="Times New Roman"/>
          <w:sz w:val="24"/>
          <w:szCs w:val="24"/>
        </w:rPr>
        <w:t xml:space="preserve"> сельсовет</w:t>
      </w:r>
      <w:r w:rsidRPr="00B76BCF">
        <w:rPr>
          <w:rFonts w:ascii="Times New Roman" w:hAnsi="Times New Roman"/>
          <w:sz w:val="24"/>
          <w:szCs w:val="24"/>
        </w:rPr>
        <w:tab/>
      </w:r>
      <w:r w:rsidRPr="00B76BCF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76BCF">
        <w:rPr>
          <w:rFonts w:ascii="Times New Roman" w:hAnsi="Times New Roman"/>
          <w:sz w:val="24"/>
          <w:szCs w:val="24"/>
        </w:rPr>
        <w:t xml:space="preserve">        А.Н. Елецких</w:t>
      </w:r>
    </w:p>
    <w:p w:rsidR="00B76BCF" w:rsidRDefault="003A155F" w:rsidP="003A1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</w:t>
      </w:r>
    </w:p>
    <w:p w:rsidR="003A155F" w:rsidRDefault="003A155F" w:rsidP="003A1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3A155F" w:rsidRDefault="003A155F" w:rsidP="003A1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B76BCF" w:rsidRDefault="003A155F" w:rsidP="003A15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30.10.2017 года № 27/53</w:t>
      </w:r>
    </w:p>
    <w:p w:rsidR="00326E87" w:rsidRPr="00B76BCF" w:rsidRDefault="00326E87" w:rsidP="00326E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Налоговые ставки по налогу на имущество </w:t>
      </w:r>
      <w:r w:rsidRPr="007157B5">
        <w:rPr>
          <w:rFonts w:ascii="Times New Roman" w:hAnsi="Times New Roman"/>
          <w:sz w:val="24"/>
          <w:szCs w:val="24"/>
        </w:rPr>
        <w:t>физических лиц на территори</w:t>
      </w:r>
      <w:r>
        <w:rPr>
          <w:rFonts w:ascii="Times New Roman" w:hAnsi="Times New Roman"/>
          <w:sz w:val="24"/>
          <w:szCs w:val="24"/>
        </w:rPr>
        <w:t xml:space="preserve">и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Грачев</w:t>
      </w:r>
      <w:r w:rsidRPr="007157B5">
        <w:rPr>
          <w:rFonts w:ascii="Times New Roman" w:hAnsi="Times New Roman"/>
          <w:sz w:val="24"/>
          <w:szCs w:val="24"/>
        </w:rPr>
        <w:t>ский</w:t>
      </w:r>
      <w:proofErr w:type="spellEnd"/>
      <w:r w:rsidRPr="007157B5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7157B5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7157B5">
        <w:rPr>
          <w:rFonts w:ascii="Times New Roman" w:hAnsi="Times New Roman"/>
          <w:sz w:val="24"/>
          <w:szCs w:val="24"/>
        </w:rPr>
        <w:t xml:space="preserve"> муниципального района Липецкой области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7157B5" w:rsidRDefault="007157B5" w:rsidP="007157B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82" w:type="dxa"/>
        <w:tblInd w:w="-431" w:type="dxa"/>
        <w:tblLook w:val="04A0"/>
      </w:tblPr>
      <w:tblGrid>
        <w:gridCol w:w="540"/>
        <w:gridCol w:w="7683"/>
        <w:gridCol w:w="1559"/>
      </w:tblGrid>
      <w:tr w:rsidR="007157B5" w:rsidTr="007D5B36">
        <w:tc>
          <w:tcPr>
            <w:tcW w:w="533" w:type="dxa"/>
          </w:tcPr>
          <w:p w:rsidR="007157B5" w:rsidRDefault="007157B5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57B5" w:rsidRDefault="00D432BA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157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90" w:type="dxa"/>
          </w:tcPr>
          <w:p w:rsidR="007157B5" w:rsidRDefault="00FD6BBB" w:rsidP="007157B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</w:t>
            </w:r>
            <w:r w:rsidR="007157B5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559" w:type="dxa"/>
          </w:tcPr>
          <w:p w:rsidR="007157B5" w:rsidRDefault="007157B5" w:rsidP="007157B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Налоговая ставка,</w:t>
            </w:r>
          </w:p>
          <w:p w:rsidR="007157B5" w:rsidRDefault="007157B5" w:rsidP="007157B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</w:tr>
      <w:tr w:rsidR="007D5B36" w:rsidTr="007D5B36">
        <w:tc>
          <w:tcPr>
            <w:tcW w:w="533" w:type="dxa"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0" w:type="dxa"/>
          </w:tcPr>
          <w:p w:rsidR="007D5B36" w:rsidRDefault="003A155F" w:rsidP="00E52A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дома, квартиры, комнаты</w:t>
            </w:r>
            <w:r w:rsidR="007D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3A155F" w:rsidRDefault="003A155F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55F" w:rsidRDefault="003A155F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55F" w:rsidRDefault="003A155F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55F" w:rsidRDefault="003A155F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B36" w:rsidRDefault="007D5B36" w:rsidP="00031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D5B36" w:rsidTr="007D5B36">
        <w:tc>
          <w:tcPr>
            <w:tcW w:w="533" w:type="dxa"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0" w:type="dxa"/>
          </w:tcPr>
          <w:p w:rsidR="007D5B36" w:rsidRDefault="007D5B36" w:rsidP="00E52A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не завершенного строительства  в случае, если  проектируемым назначением таких объектов является жилой дом </w:t>
            </w:r>
          </w:p>
        </w:tc>
        <w:tc>
          <w:tcPr>
            <w:tcW w:w="1559" w:type="dxa"/>
            <w:vMerge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B36" w:rsidTr="007D5B36">
        <w:tc>
          <w:tcPr>
            <w:tcW w:w="533" w:type="dxa"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0" w:type="dxa"/>
          </w:tcPr>
          <w:p w:rsidR="007D5B36" w:rsidRDefault="00FD6BBB" w:rsidP="00E52A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Единые недвижимые </w:t>
            </w:r>
            <w:r w:rsidR="00E52A3E">
              <w:rPr>
                <w:rFonts w:ascii="Times New Roman" w:hAnsi="Times New Roman"/>
                <w:sz w:val="24"/>
                <w:szCs w:val="24"/>
              </w:rPr>
              <w:t>комплексы</w:t>
            </w:r>
            <w:r w:rsidR="007D5B36">
              <w:rPr>
                <w:rFonts w:ascii="Times New Roman" w:hAnsi="Times New Roman"/>
                <w:sz w:val="24"/>
                <w:szCs w:val="24"/>
              </w:rPr>
              <w:t>, в состав которых входит х</w:t>
            </w:r>
            <w:r w:rsidR="003A155F">
              <w:rPr>
                <w:rFonts w:ascii="Times New Roman" w:hAnsi="Times New Roman"/>
                <w:sz w:val="24"/>
                <w:szCs w:val="24"/>
              </w:rPr>
              <w:t>отя бы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B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  <w:vMerge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B36" w:rsidTr="007D5B36">
        <w:tc>
          <w:tcPr>
            <w:tcW w:w="533" w:type="dxa"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0" w:type="dxa"/>
          </w:tcPr>
          <w:p w:rsidR="007D5B36" w:rsidRDefault="007D5B36" w:rsidP="00E52A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Гаражи  и</w:t>
            </w:r>
            <w:r w:rsidR="00461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r w:rsidR="003A155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59" w:type="dxa"/>
            <w:vMerge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B36" w:rsidTr="007D5B36">
        <w:tc>
          <w:tcPr>
            <w:tcW w:w="533" w:type="dxa"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0" w:type="dxa"/>
          </w:tcPr>
          <w:p w:rsidR="007D5B36" w:rsidRDefault="007D5B36" w:rsidP="00E52A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Хозяй</w:t>
            </w:r>
            <w:r w:rsidR="00031F41">
              <w:rPr>
                <w:rFonts w:ascii="Times New Roman" w:hAnsi="Times New Roman"/>
                <w:sz w:val="24"/>
                <w:szCs w:val="24"/>
              </w:rPr>
              <w:t>ственные строения  и сооружения</w:t>
            </w:r>
            <w:r>
              <w:rPr>
                <w:rFonts w:ascii="Times New Roman" w:hAnsi="Times New Roman"/>
                <w:sz w:val="24"/>
                <w:szCs w:val="24"/>
              </w:rPr>
              <w:t>, площадь каждого  из которых не превышает 50 квадратных метров  и которые  расположены на земельных участках, предоставленных для ведения личного подсобного, дач</w:t>
            </w:r>
            <w:r w:rsidR="00E52A3E">
              <w:rPr>
                <w:rFonts w:ascii="Times New Roman" w:hAnsi="Times New Roman"/>
                <w:sz w:val="24"/>
                <w:szCs w:val="24"/>
              </w:rPr>
              <w:t>ного  хозяйства, огородничества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садоводства  или  индивидуального жилищного  строительства </w:t>
            </w:r>
          </w:p>
        </w:tc>
        <w:tc>
          <w:tcPr>
            <w:tcW w:w="1559" w:type="dxa"/>
            <w:vMerge/>
          </w:tcPr>
          <w:p w:rsidR="007D5B36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B5" w:rsidTr="007D5B36">
        <w:tc>
          <w:tcPr>
            <w:tcW w:w="533" w:type="dxa"/>
          </w:tcPr>
          <w:p w:rsidR="007157B5" w:rsidRDefault="00E03B4A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0" w:type="dxa"/>
          </w:tcPr>
          <w:p w:rsidR="007157B5" w:rsidRDefault="00461AE6" w:rsidP="009415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налогообложения</w:t>
            </w:r>
            <w:r w:rsidR="00E03B4A">
              <w:rPr>
                <w:rFonts w:ascii="Times New Roman" w:hAnsi="Times New Roman"/>
                <w:sz w:val="24"/>
                <w:szCs w:val="24"/>
              </w:rPr>
              <w:t>, включенные в перечень, определяемый в соответствии  с пунктом 7 статьи 378.2 Налоговог</w:t>
            </w:r>
            <w:r>
              <w:rPr>
                <w:rFonts w:ascii="Times New Roman" w:hAnsi="Times New Roman"/>
                <w:sz w:val="24"/>
                <w:szCs w:val="24"/>
              </w:rPr>
              <w:t>о кодекса  Российской Федерации</w:t>
            </w:r>
            <w:r w:rsidR="00E03B4A">
              <w:rPr>
                <w:rFonts w:ascii="Times New Roman" w:hAnsi="Times New Roman"/>
                <w:sz w:val="24"/>
                <w:szCs w:val="24"/>
              </w:rPr>
              <w:t>, в отно</w:t>
            </w:r>
            <w:r>
              <w:rPr>
                <w:rFonts w:ascii="Times New Roman" w:hAnsi="Times New Roman"/>
                <w:sz w:val="24"/>
                <w:szCs w:val="24"/>
              </w:rPr>
              <w:t>шении  объектов налогообложения</w:t>
            </w:r>
            <w:r w:rsidR="00E03B4A">
              <w:rPr>
                <w:rFonts w:ascii="Times New Roman" w:hAnsi="Times New Roman"/>
                <w:sz w:val="24"/>
                <w:szCs w:val="24"/>
              </w:rPr>
              <w:t>,  предусмотренных абзацем вторым пункта 10 с</w:t>
            </w:r>
            <w:r w:rsidR="00941566">
              <w:rPr>
                <w:rFonts w:ascii="Times New Roman" w:hAnsi="Times New Roman"/>
                <w:sz w:val="24"/>
                <w:szCs w:val="24"/>
              </w:rPr>
              <w:t xml:space="preserve">татьи 378.2 Налогового кодекса </w:t>
            </w:r>
            <w:r w:rsidR="00E03B4A">
              <w:rPr>
                <w:rFonts w:ascii="Times New Roman" w:hAnsi="Times New Roman"/>
                <w:sz w:val="24"/>
                <w:szCs w:val="24"/>
              </w:rPr>
              <w:t>Российской Фед</w:t>
            </w:r>
            <w:r w:rsidR="00E52A3E">
              <w:rPr>
                <w:rFonts w:ascii="Times New Roman" w:hAnsi="Times New Roman"/>
                <w:sz w:val="24"/>
                <w:szCs w:val="24"/>
              </w:rPr>
              <w:t>ерации  объекты налогообложения</w:t>
            </w:r>
            <w:r w:rsidR="00E03B4A">
              <w:rPr>
                <w:rFonts w:ascii="Times New Roman" w:hAnsi="Times New Roman"/>
                <w:sz w:val="24"/>
                <w:szCs w:val="24"/>
              </w:rPr>
              <w:t>, кадастровая стоимость  каждого из  которых превышает 300 миллионов рублей</w:t>
            </w:r>
          </w:p>
        </w:tc>
        <w:tc>
          <w:tcPr>
            <w:tcW w:w="1559" w:type="dxa"/>
          </w:tcPr>
          <w:p w:rsidR="00031F41" w:rsidRDefault="00031F41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31F41" w:rsidRDefault="00031F41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7B5" w:rsidRDefault="007D5B36" w:rsidP="00031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57B5" w:rsidTr="007D5B36">
        <w:tc>
          <w:tcPr>
            <w:tcW w:w="533" w:type="dxa"/>
          </w:tcPr>
          <w:p w:rsidR="007157B5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0" w:type="dxa"/>
          </w:tcPr>
          <w:p w:rsidR="007157B5" w:rsidRDefault="007D5B36" w:rsidP="00715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объекты налогообложения </w:t>
            </w:r>
          </w:p>
        </w:tc>
        <w:tc>
          <w:tcPr>
            <w:tcW w:w="1559" w:type="dxa"/>
          </w:tcPr>
          <w:p w:rsidR="007157B5" w:rsidRDefault="007D5B36" w:rsidP="00031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7157B5" w:rsidRPr="007157B5" w:rsidRDefault="007157B5" w:rsidP="007157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537C" w:rsidRDefault="0064537C" w:rsidP="006453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37C" w:rsidRDefault="0064537C" w:rsidP="006453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21D44" w:rsidRDefault="00B21D44" w:rsidP="006453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37C" w:rsidRDefault="00B21D44" w:rsidP="00B21D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B21D44" w:rsidRDefault="00B21D44" w:rsidP="00B21D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                                                      А.Н. Елецких</w:t>
      </w:r>
    </w:p>
    <w:p w:rsidR="0064537C" w:rsidRDefault="0064537C" w:rsidP="006453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37C" w:rsidRDefault="0064537C" w:rsidP="006453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37C" w:rsidRDefault="0064537C" w:rsidP="00B21D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537C" w:rsidRDefault="0064537C" w:rsidP="006453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37C" w:rsidRDefault="0064537C" w:rsidP="006453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37C" w:rsidRDefault="0064537C" w:rsidP="006453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48A6" w:rsidRDefault="004B48A6"/>
    <w:sectPr w:rsidR="004B48A6" w:rsidSect="000D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3D2"/>
    <w:multiLevelType w:val="hybridMultilevel"/>
    <w:tmpl w:val="05D404E6"/>
    <w:lvl w:ilvl="0" w:tplc="AA74CF4A">
      <w:start w:val="4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A6B6F"/>
    <w:multiLevelType w:val="hybridMultilevel"/>
    <w:tmpl w:val="CBBEDE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9E"/>
    <w:rsid w:val="00031F41"/>
    <w:rsid w:val="000D1212"/>
    <w:rsid w:val="002547E4"/>
    <w:rsid w:val="002613B8"/>
    <w:rsid w:val="00326E87"/>
    <w:rsid w:val="003A015F"/>
    <w:rsid w:val="003A155F"/>
    <w:rsid w:val="00413D5E"/>
    <w:rsid w:val="00461AE6"/>
    <w:rsid w:val="004B48A6"/>
    <w:rsid w:val="005924E0"/>
    <w:rsid w:val="0064537C"/>
    <w:rsid w:val="00662941"/>
    <w:rsid w:val="007157B5"/>
    <w:rsid w:val="00716973"/>
    <w:rsid w:val="007D5B36"/>
    <w:rsid w:val="00853148"/>
    <w:rsid w:val="00916A71"/>
    <w:rsid w:val="00941566"/>
    <w:rsid w:val="00A7184A"/>
    <w:rsid w:val="00B21D44"/>
    <w:rsid w:val="00B76BCF"/>
    <w:rsid w:val="00D13F9E"/>
    <w:rsid w:val="00D432BA"/>
    <w:rsid w:val="00D50C9D"/>
    <w:rsid w:val="00D579FD"/>
    <w:rsid w:val="00E03B4A"/>
    <w:rsid w:val="00E52A3E"/>
    <w:rsid w:val="00E97EFC"/>
    <w:rsid w:val="00F43E4D"/>
    <w:rsid w:val="00FD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7B5"/>
    <w:pPr>
      <w:ind w:left="720"/>
      <w:contextualSpacing/>
    </w:pPr>
  </w:style>
  <w:style w:type="table" w:styleId="a4">
    <w:name w:val="Table Grid"/>
    <w:basedOn w:val="a1"/>
    <w:uiPriority w:val="39"/>
    <w:rsid w:val="0071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2017-10-31T07:45:00Z</cp:lastPrinted>
  <dcterms:created xsi:type="dcterms:W3CDTF">2017-10-25T06:55:00Z</dcterms:created>
  <dcterms:modified xsi:type="dcterms:W3CDTF">2017-10-31T07:46:00Z</dcterms:modified>
</cp:coreProperties>
</file>